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1150" w:rsidRDefault="00E76C92">
      <w:bookmarkStart w:id="0" w:name="_GoBack"/>
      <w:r>
        <w:rPr>
          <w:noProof/>
        </w:rPr>
        <w:drawing>
          <wp:inline distT="0" distB="0" distL="0" distR="0" wp14:anchorId="62CD9509" wp14:editId="13EB1D2B">
            <wp:extent cx="4455795" cy="3427095"/>
            <wp:effectExtent l="0" t="0" r="14605" b="27305"/>
            <wp:docPr id="1" name="Graphique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bookmarkEnd w:id="0"/>
    <w:p w:rsidR="00E76C92" w:rsidRDefault="00E76C92" w:rsidP="00E76C9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GRAPHIQUE DE LA MONTÉE DES EAUX DE LA CRUE DE 1856 EN AVIGNON.</w:t>
      </w:r>
    </w:p>
    <w:p w:rsidR="00E76C92" w:rsidRDefault="00E76C92" w:rsidP="00E76C92">
      <w:pPr>
        <w:jc w:val="center"/>
        <w:rPr>
          <w:b/>
          <w:sz w:val="28"/>
          <w:szCs w:val="28"/>
        </w:rPr>
      </w:pPr>
    </w:p>
    <w:p w:rsidR="00E76C92" w:rsidRDefault="00E76C92" w:rsidP="00E76C92">
      <w:pPr>
        <w:jc w:val="both"/>
      </w:pPr>
      <w:r>
        <w:t xml:space="preserve">Il s’agit des hauteurs d’eau relevées à l’échelle du pont suspendu d’Avignon. </w:t>
      </w:r>
    </w:p>
    <w:p w:rsidR="00E76C92" w:rsidRDefault="00E76C92" w:rsidP="00E76C92">
      <w:pPr>
        <w:jc w:val="both"/>
      </w:pPr>
      <w:r>
        <w:t>A gauche, les hauteurs d’eau, en bas les heures écoulées à partir de la première prise de cote : 3,60 m le 29 mai à 7 heures du matin.</w:t>
      </w:r>
    </w:p>
    <w:p w:rsidR="00E76C92" w:rsidRDefault="00E76C92" w:rsidP="00E76C92">
      <w:pPr>
        <w:jc w:val="both"/>
      </w:pPr>
      <w:r>
        <w:t>La cote maximale est  atteinte le 31 mai entre 14 et 18 heures (7,83m). A partir de ce moment la décrue s’amorce.</w:t>
      </w:r>
    </w:p>
    <w:p w:rsidR="00E76C92" w:rsidRPr="00E76C92" w:rsidRDefault="00E76C92" w:rsidP="00E76C92">
      <w:pPr>
        <w:jc w:val="both"/>
      </w:pPr>
      <w:r>
        <w:t>La montée des eaux est très rapide et s’accélère tandis que la décrue est lente et régulière.</w:t>
      </w:r>
    </w:p>
    <w:sectPr w:rsidR="00E76C92" w:rsidRPr="00E76C92" w:rsidSect="00141150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6C92"/>
    <w:rsid w:val="00141150"/>
    <w:rsid w:val="00E76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54DAD36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E76C92"/>
    <w:rPr>
      <w:rFonts w:ascii="Lucida Grande" w:hAnsi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76C92"/>
    <w:rPr>
      <w:rFonts w:ascii="Lucida Grande" w:hAnsi="Lucida Grande"/>
      <w:sz w:val="18"/>
      <w:szCs w:val="18"/>
      <w:lang w:val="fr-FR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E76C92"/>
    <w:rPr>
      <w:rFonts w:ascii="Lucida Grande" w:hAnsi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76C92"/>
    <w:rPr>
      <w:rFonts w:ascii="Lucida Grande" w:hAnsi="Lucida Grande"/>
      <w:sz w:val="18"/>
      <w:szCs w:val="18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chart" Target="charts/chart1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Classeur2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fr-FR"/>
  <c:roundedCorners val="0"/>
  <mc:AlternateContent xmlns:mc="http://schemas.openxmlformats.org/markup-compatibility/2006">
    <mc:Choice xmlns:c14="http://schemas.microsoft.com/office/drawing/2007/8/2/chart" Requires="c14">
      <c14:style val="118"/>
    </mc:Choice>
    <mc:Fallback>
      <c:style val="18"/>
    </mc:Fallback>
  </mc:AlternateContent>
  <c:chart>
    <c:autoTitleDeleted val="0"/>
    <c:plotArea>
      <c:layout/>
      <c:scatterChart>
        <c:scatterStyle val="lineMarker"/>
        <c:varyColors val="0"/>
        <c:ser>
          <c:idx val="0"/>
          <c:order val="0"/>
          <c:marker>
            <c:symbol val="none"/>
          </c:marker>
          <c:xVal>
            <c:numRef>
              <c:f>Feuil1!$A$1:$A$25</c:f>
              <c:numCache>
                <c:formatCode>General</c:formatCode>
                <c:ptCount val="25"/>
                <c:pt idx="0">
                  <c:v>0.0</c:v>
                </c:pt>
                <c:pt idx="1">
                  <c:v>10.0</c:v>
                </c:pt>
                <c:pt idx="2">
                  <c:v>24.0</c:v>
                </c:pt>
                <c:pt idx="3">
                  <c:v>29.0</c:v>
                </c:pt>
                <c:pt idx="4">
                  <c:v>34.0</c:v>
                </c:pt>
                <c:pt idx="5">
                  <c:v>38.0</c:v>
                </c:pt>
                <c:pt idx="6">
                  <c:v>46.0</c:v>
                </c:pt>
                <c:pt idx="7">
                  <c:v>47.0</c:v>
                </c:pt>
                <c:pt idx="8">
                  <c:v>48.0</c:v>
                </c:pt>
                <c:pt idx="9">
                  <c:v>49.0</c:v>
                </c:pt>
                <c:pt idx="10">
                  <c:v>50.0</c:v>
                </c:pt>
                <c:pt idx="11">
                  <c:v>51.0</c:v>
                </c:pt>
                <c:pt idx="12">
                  <c:v>52.0</c:v>
                </c:pt>
                <c:pt idx="13">
                  <c:v>53.0</c:v>
                </c:pt>
                <c:pt idx="14">
                  <c:v>54.0</c:v>
                </c:pt>
                <c:pt idx="15">
                  <c:v>55.0</c:v>
                </c:pt>
                <c:pt idx="16">
                  <c:v>59.0</c:v>
                </c:pt>
                <c:pt idx="17">
                  <c:v>60.0</c:v>
                </c:pt>
                <c:pt idx="18">
                  <c:v>70.0</c:v>
                </c:pt>
                <c:pt idx="19">
                  <c:v>84.0</c:v>
                </c:pt>
                <c:pt idx="20">
                  <c:v>94.0</c:v>
                </c:pt>
                <c:pt idx="21">
                  <c:v>108.0</c:v>
                </c:pt>
                <c:pt idx="22">
                  <c:v>118.0</c:v>
                </c:pt>
                <c:pt idx="23">
                  <c:v>132.0</c:v>
                </c:pt>
                <c:pt idx="24">
                  <c:v>142.0</c:v>
                </c:pt>
              </c:numCache>
            </c:numRef>
          </c:xVal>
          <c:yVal>
            <c:numRef>
              <c:f>Feuil1!$B$1:$B$25</c:f>
              <c:numCache>
                <c:formatCode>General</c:formatCode>
                <c:ptCount val="25"/>
                <c:pt idx="0">
                  <c:v>3.6</c:v>
                </c:pt>
                <c:pt idx="1">
                  <c:v>3.72</c:v>
                </c:pt>
                <c:pt idx="2">
                  <c:v>4.65</c:v>
                </c:pt>
                <c:pt idx="3">
                  <c:v>5.0</c:v>
                </c:pt>
                <c:pt idx="4">
                  <c:v>5.39</c:v>
                </c:pt>
                <c:pt idx="5">
                  <c:v>5.72</c:v>
                </c:pt>
                <c:pt idx="6">
                  <c:v>6.59</c:v>
                </c:pt>
                <c:pt idx="7">
                  <c:v>6.79</c:v>
                </c:pt>
                <c:pt idx="8">
                  <c:v>6.9</c:v>
                </c:pt>
                <c:pt idx="9">
                  <c:v>7.1</c:v>
                </c:pt>
                <c:pt idx="10">
                  <c:v>7.3</c:v>
                </c:pt>
                <c:pt idx="11">
                  <c:v>7.5</c:v>
                </c:pt>
                <c:pt idx="12">
                  <c:v>7.67</c:v>
                </c:pt>
                <c:pt idx="13">
                  <c:v>7.769999999999999</c:v>
                </c:pt>
                <c:pt idx="14">
                  <c:v>7.8</c:v>
                </c:pt>
                <c:pt idx="15">
                  <c:v>7.83</c:v>
                </c:pt>
                <c:pt idx="16">
                  <c:v>7.83</c:v>
                </c:pt>
                <c:pt idx="17">
                  <c:v>7.8</c:v>
                </c:pt>
                <c:pt idx="18">
                  <c:v>7.52</c:v>
                </c:pt>
                <c:pt idx="19">
                  <c:v>7.45</c:v>
                </c:pt>
                <c:pt idx="20">
                  <c:v>7.1</c:v>
                </c:pt>
                <c:pt idx="21">
                  <c:v>6.83</c:v>
                </c:pt>
                <c:pt idx="22">
                  <c:v>6.63</c:v>
                </c:pt>
                <c:pt idx="23">
                  <c:v>6.15</c:v>
                </c:pt>
                <c:pt idx="24">
                  <c:v>5.8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608919144"/>
        <c:axId val="608922104"/>
      </c:scatterChart>
      <c:valAx>
        <c:axId val="60891914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608922104"/>
        <c:crosses val="autoZero"/>
        <c:crossBetween val="midCat"/>
      </c:valAx>
      <c:valAx>
        <c:axId val="60892210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608919144"/>
        <c:crosses val="autoZero"/>
        <c:crossBetween val="midCat"/>
      </c:valAx>
    </c:plotArea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75</Words>
  <Characters>413</Characters>
  <Application>Microsoft Macintosh Word</Application>
  <DocSecurity>0</DocSecurity>
  <Lines>3</Lines>
  <Paragraphs>1</Paragraphs>
  <ScaleCrop>false</ScaleCrop>
  <Company>josip-oldpapers</Company>
  <LinksUpToDate>false</LinksUpToDate>
  <CharactersWithSpaces>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 GUERIN</dc:creator>
  <cp:keywords/>
  <dc:description/>
  <cp:lastModifiedBy>Michel GUERIN</cp:lastModifiedBy>
  <cp:revision>1</cp:revision>
  <cp:lastPrinted>2015-07-31T11:17:00Z</cp:lastPrinted>
  <dcterms:created xsi:type="dcterms:W3CDTF">2015-07-31T11:05:00Z</dcterms:created>
  <dcterms:modified xsi:type="dcterms:W3CDTF">2015-07-31T11:19:00Z</dcterms:modified>
</cp:coreProperties>
</file>